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ABD1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/>
          <w:lang w:val="en-US" w:eastAsia="zh-CN"/>
        </w:rPr>
      </w:pPr>
      <w:bookmarkStart w:id="0" w:name="_Toc20384570"/>
      <w:r>
        <w:rPr>
          <w:rFonts w:hint="eastAsia" w:ascii="宋体" w:hAnsi="宋体" w:eastAsia="宋体"/>
          <w:lang w:val="en-US" w:eastAsia="zh-CN"/>
        </w:rPr>
        <w:t>附件.</w:t>
      </w:r>
    </w:p>
    <w:p w14:paraId="11BC4AA2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一、</w:t>
      </w:r>
      <w:r>
        <w:rPr>
          <w:rFonts w:hint="eastAsia" w:ascii="黑体" w:hAnsi="黑体" w:eastAsia="黑体" w:cs="黑体"/>
        </w:rPr>
        <w:t>技术要求</w:t>
      </w:r>
    </w:p>
    <w:tbl>
      <w:tblPr>
        <w:tblStyle w:val="12"/>
        <w:tblW w:w="88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253"/>
        <w:gridCol w:w="5340"/>
        <w:gridCol w:w="772"/>
        <w:gridCol w:w="698"/>
      </w:tblGrid>
      <w:tr w14:paraId="53FAD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762" w:type="dxa"/>
            <w:vAlign w:val="center"/>
          </w:tcPr>
          <w:p w14:paraId="31128905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序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号</w:t>
            </w:r>
          </w:p>
        </w:tc>
        <w:tc>
          <w:tcPr>
            <w:tcW w:w="1253" w:type="dxa"/>
            <w:vAlign w:val="center"/>
          </w:tcPr>
          <w:p w14:paraId="56C8C2A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标的名称</w:t>
            </w:r>
          </w:p>
        </w:tc>
        <w:tc>
          <w:tcPr>
            <w:tcW w:w="5340" w:type="dxa"/>
            <w:vAlign w:val="center"/>
          </w:tcPr>
          <w:p w14:paraId="62ACD82C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技术要求</w:t>
            </w:r>
          </w:p>
        </w:tc>
        <w:tc>
          <w:tcPr>
            <w:tcW w:w="772" w:type="dxa"/>
            <w:vAlign w:val="center"/>
          </w:tcPr>
          <w:p w14:paraId="426D8130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计量</w:t>
            </w:r>
          </w:p>
          <w:p w14:paraId="5FDBFD0E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单位</w:t>
            </w:r>
          </w:p>
        </w:tc>
        <w:tc>
          <w:tcPr>
            <w:tcW w:w="698" w:type="dxa"/>
            <w:vAlign w:val="center"/>
          </w:tcPr>
          <w:p w14:paraId="60A25064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数量</w:t>
            </w:r>
          </w:p>
        </w:tc>
      </w:tr>
      <w:tr w14:paraId="1E4D6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7" w:hRule="atLeast"/>
        </w:trPr>
        <w:tc>
          <w:tcPr>
            <w:tcW w:w="762" w:type="dxa"/>
            <w:vAlign w:val="center"/>
          </w:tcPr>
          <w:p w14:paraId="4842FD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1</w:t>
            </w:r>
          </w:p>
        </w:tc>
        <w:tc>
          <w:tcPr>
            <w:tcW w:w="1253" w:type="dxa"/>
            <w:vAlign w:val="center"/>
          </w:tcPr>
          <w:p w14:paraId="4E6F5F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内存</w:t>
            </w:r>
          </w:p>
        </w:tc>
        <w:tc>
          <w:tcPr>
            <w:tcW w:w="5340" w:type="dxa"/>
            <w:vAlign w:val="center"/>
          </w:tcPr>
          <w:p w14:paraId="4A9E03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适用类型：台式机</w:t>
            </w:r>
          </w:p>
          <w:p w14:paraId="0B9252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容量描述：单条（</w:t>
            </w:r>
            <w:r>
              <w:rPr>
                <w:rFonts w:ascii="宋体" w:hAnsi="宋体" w:cs="宋体"/>
                <w:sz w:val="21"/>
                <w:szCs w:val="21"/>
              </w:rPr>
              <w:t>16</w:t>
            </w:r>
            <w:r>
              <w:rPr>
                <w:rFonts w:hint="eastAsia" w:ascii="宋体" w:hAnsi="宋体" w:cs="宋体"/>
                <w:sz w:val="21"/>
                <w:szCs w:val="21"/>
              </w:rPr>
              <w:t>GB）</w:t>
            </w:r>
          </w:p>
          <w:p w14:paraId="591691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内存类型：DDR4</w:t>
            </w:r>
          </w:p>
          <w:p w14:paraId="065ED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内存主频：</w:t>
            </w:r>
            <w:r>
              <w:rPr>
                <w:rFonts w:ascii="宋体" w:hAnsi="宋体" w:cs="宋体"/>
                <w:sz w:val="21"/>
                <w:szCs w:val="21"/>
              </w:rPr>
              <w:t>3200</w:t>
            </w:r>
            <w:r>
              <w:rPr>
                <w:rFonts w:hint="eastAsia" w:ascii="宋体" w:hAnsi="宋体" w:cs="宋体"/>
                <w:sz w:val="21"/>
                <w:szCs w:val="21"/>
              </w:rPr>
              <w:t>MHz</w:t>
            </w:r>
            <w:bookmarkStart w:id="1" w:name="_GoBack"/>
            <w:bookmarkEnd w:id="1"/>
          </w:p>
          <w:p w14:paraId="369F87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针脚数：288pin</w:t>
            </w:r>
          </w:p>
          <w:p w14:paraId="31DD4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插槽类型：DIMM</w:t>
            </w:r>
          </w:p>
          <w:p w14:paraId="5C3A9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兼容性好，能与主板良好兼容</w:t>
            </w:r>
          </w:p>
        </w:tc>
        <w:tc>
          <w:tcPr>
            <w:tcW w:w="772" w:type="dxa"/>
            <w:vAlign w:val="center"/>
          </w:tcPr>
          <w:p w14:paraId="35D9E2B9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根</w:t>
            </w:r>
          </w:p>
        </w:tc>
        <w:tc>
          <w:tcPr>
            <w:tcW w:w="698" w:type="dxa"/>
            <w:vAlign w:val="center"/>
          </w:tcPr>
          <w:p w14:paraId="2C5EC89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95</w:t>
            </w:r>
          </w:p>
        </w:tc>
      </w:tr>
      <w:tr w14:paraId="05594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762" w:type="dxa"/>
            <w:vAlign w:val="center"/>
          </w:tcPr>
          <w:p w14:paraId="08BDD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2</w:t>
            </w:r>
          </w:p>
        </w:tc>
        <w:tc>
          <w:tcPr>
            <w:tcW w:w="1253" w:type="dxa"/>
            <w:vAlign w:val="center"/>
          </w:tcPr>
          <w:p w14:paraId="7CE648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台式计算机中央处理器</w:t>
            </w:r>
          </w:p>
        </w:tc>
        <w:tc>
          <w:tcPr>
            <w:tcW w:w="5340" w:type="dxa"/>
            <w:vAlign w:val="center"/>
          </w:tcPr>
          <w:p w14:paraId="777D9A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Intel处理器，不低于以下配置 </w:t>
            </w:r>
          </w:p>
          <w:p w14:paraId="19128E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I3 12100，主频≥3.3GHZ，4核心8线程</w:t>
            </w:r>
          </w:p>
          <w:p w14:paraId="0E04C9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集成核显</w:t>
            </w:r>
          </w:p>
          <w:p w14:paraId="1E667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盒装、散装均可，散装要求配置合格的散热风扇</w:t>
            </w:r>
          </w:p>
        </w:tc>
        <w:tc>
          <w:tcPr>
            <w:tcW w:w="772" w:type="dxa"/>
            <w:vAlign w:val="center"/>
          </w:tcPr>
          <w:p w14:paraId="5BD0A5A9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</w:t>
            </w:r>
          </w:p>
        </w:tc>
        <w:tc>
          <w:tcPr>
            <w:tcW w:w="698" w:type="dxa"/>
            <w:vAlign w:val="center"/>
          </w:tcPr>
          <w:p w14:paraId="6547D151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95</w:t>
            </w:r>
          </w:p>
        </w:tc>
      </w:tr>
      <w:tr w14:paraId="6A229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8" w:hRule="atLeast"/>
        </w:trPr>
        <w:tc>
          <w:tcPr>
            <w:tcW w:w="762" w:type="dxa"/>
            <w:vAlign w:val="center"/>
          </w:tcPr>
          <w:p w14:paraId="153582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3</w:t>
            </w:r>
          </w:p>
        </w:tc>
        <w:tc>
          <w:tcPr>
            <w:tcW w:w="1253" w:type="dxa"/>
            <w:vAlign w:val="center"/>
          </w:tcPr>
          <w:p w14:paraId="03C006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固态硬盘</w:t>
            </w:r>
          </w:p>
        </w:tc>
        <w:tc>
          <w:tcPr>
            <w:tcW w:w="5340" w:type="dxa"/>
            <w:vAlign w:val="center"/>
          </w:tcPr>
          <w:p w14:paraId="25626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容量：≧500GB</w:t>
            </w:r>
          </w:p>
          <w:p w14:paraId="549641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接口类型：M.2  PCIe</w:t>
            </w:r>
          </w:p>
          <w:p w14:paraId="37F84B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支持协议：NVme</w:t>
            </w:r>
          </w:p>
          <w:p w14:paraId="08EAB9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读取速度≥</w:t>
            </w:r>
            <w:r>
              <w:rPr>
                <w:rFonts w:ascii="宋体" w:hAnsi="宋体" w:cs="宋体"/>
                <w:sz w:val="21"/>
                <w:szCs w:val="21"/>
              </w:rPr>
              <w:t>3000MB/s</w:t>
            </w:r>
          </w:p>
          <w:p w14:paraId="452007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写入速度≥</w:t>
            </w:r>
            <w:r>
              <w:rPr>
                <w:rFonts w:ascii="宋体" w:hAnsi="宋体" w:cs="宋体"/>
                <w:sz w:val="21"/>
                <w:szCs w:val="21"/>
              </w:rPr>
              <w:t>2000MB/s</w:t>
            </w:r>
          </w:p>
          <w:p w14:paraId="7D7D34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耐用性≥</w:t>
            </w:r>
            <w:r>
              <w:rPr>
                <w:rFonts w:ascii="宋体" w:hAnsi="宋体" w:cs="宋体"/>
                <w:sz w:val="21"/>
                <w:szCs w:val="21"/>
              </w:rPr>
              <w:t>300TBW</w:t>
            </w:r>
          </w:p>
          <w:p w14:paraId="2AD2E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sym w:font="Wingdings 2" w:char="F0EA"/>
            </w:r>
            <w:r>
              <w:rPr>
                <w:rFonts w:hint="eastAsia" w:ascii="宋体" w:hAnsi="宋体" w:cs="宋体"/>
                <w:sz w:val="21"/>
                <w:szCs w:val="21"/>
              </w:rPr>
              <w:t>存储单元为</w:t>
            </w:r>
            <w:r>
              <w:rPr>
                <w:rFonts w:ascii="宋体" w:hAnsi="宋体" w:cs="宋体"/>
                <w:sz w:val="21"/>
                <w:szCs w:val="21"/>
              </w:rPr>
              <w:t>TLC</w:t>
            </w:r>
            <w:r>
              <w:rPr>
                <w:rFonts w:hint="eastAsia" w:ascii="宋体" w:hAnsi="宋体" w:cs="宋体"/>
                <w:sz w:val="21"/>
                <w:szCs w:val="21"/>
              </w:rPr>
              <w:t>颗粒，质保</w:t>
            </w:r>
            <w:r>
              <w:rPr>
                <w:rFonts w:ascii="宋体" w:hAnsi="宋体" w:cs="宋体"/>
                <w:sz w:val="21"/>
                <w:szCs w:val="21"/>
              </w:rPr>
              <w:t>5</w:t>
            </w:r>
            <w:r>
              <w:rPr>
                <w:rFonts w:hint="eastAsia" w:ascii="宋体" w:hAnsi="宋体" w:cs="宋体"/>
                <w:sz w:val="21"/>
                <w:szCs w:val="21"/>
              </w:rPr>
              <w:t>年</w:t>
            </w:r>
          </w:p>
        </w:tc>
        <w:tc>
          <w:tcPr>
            <w:tcW w:w="772" w:type="dxa"/>
            <w:vAlign w:val="center"/>
          </w:tcPr>
          <w:p w14:paraId="08EC3E85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</w:t>
            </w:r>
          </w:p>
        </w:tc>
        <w:tc>
          <w:tcPr>
            <w:tcW w:w="698" w:type="dxa"/>
            <w:vAlign w:val="center"/>
          </w:tcPr>
          <w:p w14:paraId="24031D6A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95</w:t>
            </w:r>
          </w:p>
        </w:tc>
      </w:tr>
      <w:tr w14:paraId="7933F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62" w:type="dxa"/>
            <w:vAlign w:val="center"/>
          </w:tcPr>
          <w:p w14:paraId="18A91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4</w:t>
            </w:r>
          </w:p>
        </w:tc>
        <w:tc>
          <w:tcPr>
            <w:tcW w:w="1253" w:type="dxa"/>
            <w:vAlign w:val="center"/>
          </w:tcPr>
          <w:p w14:paraId="709B46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主板</w:t>
            </w:r>
          </w:p>
        </w:tc>
        <w:tc>
          <w:tcPr>
            <w:tcW w:w="5340" w:type="dxa"/>
            <w:vAlign w:val="center"/>
          </w:tcPr>
          <w:p w14:paraId="455F64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芯片组:Intel® H610或B660 高速芯片组</w:t>
            </w:r>
          </w:p>
          <w:p w14:paraId="61A8DF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内存：支持DDR4 </w:t>
            </w:r>
          </w:p>
          <w:p w14:paraId="485FAD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插槽：2</w:t>
            </w:r>
            <w:r>
              <w:rPr>
                <w:rFonts w:ascii="宋体" w:hAnsi="宋体" w:cs="宋体"/>
                <w:sz w:val="21"/>
                <w:szCs w:val="21"/>
              </w:rPr>
              <w:t>-4</w:t>
            </w:r>
            <w:r>
              <w:rPr>
                <w:rFonts w:hint="eastAsia" w:ascii="宋体" w:hAnsi="宋体" w:cs="宋体"/>
                <w:sz w:val="21"/>
                <w:szCs w:val="21"/>
              </w:rPr>
              <w:t>个 DDR4 DIMM 插槽，可支持高达64 GB (单一插槽支持32 GB容量)；支持双通道内存技术：</w:t>
            </w:r>
          </w:p>
          <w:p w14:paraId="776BA3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显示接口：1个VGA接口，可支持高达1920x1200@60 Hz的分辨率。</w:t>
            </w:r>
          </w:p>
          <w:p w14:paraId="3D0BBF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1个HDMI接口，可支持高达 4096x2160@60 Hz的分辨率，支持 HDMI 2.1 版本及 HDCP 2.3.，支持兼容于原生 HDMI 2.1 TMDS 规范的接口。</w:t>
            </w:r>
          </w:p>
          <w:p w14:paraId="725A9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音频芯片</w:t>
            </w:r>
            <w:r>
              <w:rPr>
                <w:rFonts w:hint="eastAsia" w:ascii="宋体" w:hAnsi="宋体" w:cs="宋体"/>
                <w:sz w:val="21"/>
                <w:szCs w:val="21"/>
              </w:rPr>
              <w:tab/>
            </w:r>
            <w:r>
              <w:rPr>
                <w:rFonts w:hint="eastAsia" w:ascii="宋体" w:hAnsi="宋体" w:cs="宋体"/>
                <w:sz w:val="21"/>
                <w:szCs w:val="21"/>
              </w:rPr>
              <w:t>集成Realtek 7.1声道音效芯片</w:t>
            </w:r>
          </w:p>
          <w:p w14:paraId="4F708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网络：板载Intel/Realtek 1GbE网卡</w:t>
            </w:r>
          </w:p>
          <w:p w14:paraId="7C451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扩展槽：1个PCI-E x16插槽，1个PCI-E x1插槽</w:t>
            </w:r>
          </w:p>
          <w:p w14:paraId="32DE4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存储接口：2×M.2接口，4×SATA III接口</w:t>
            </w:r>
          </w:p>
          <w:p w14:paraId="0B49F9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I/O接口：USB（背板）</w:t>
            </w:r>
            <w:r>
              <w:rPr>
                <w:rFonts w:hint="eastAsia" w:ascii="宋体" w:hAnsi="宋体" w:cs="宋体"/>
                <w:sz w:val="21"/>
                <w:szCs w:val="21"/>
              </w:rPr>
              <w:tab/>
            </w:r>
            <w:r>
              <w:rPr>
                <w:rFonts w:hint="eastAsia" w:ascii="宋体" w:hAnsi="宋体" w:cs="宋体"/>
                <w:sz w:val="21"/>
                <w:szCs w:val="21"/>
              </w:rPr>
              <w:t>2×USB3.2 Gen1接口</w:t>
            </w:r>
          </w:p>
          <w:p w14:paraId="10813A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4×USB2.0接口</w:t>
            </w:r>
          </w:p>
          <w:p w14:paraId="4A3206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USB（内置）</w:t>
            </w:r>
            <w:r>
              <w:rPr>
                <w:rFonts w:hint="eastAsia" w:ascii="宋体" w:hAnsi="宋体" w:cs="宋体"/>
                <w:sz w:val="21"/>
                <w:szCs w:val="21"/>
              </w:rPr>
              <w:tab/>
            </w:r>
            <w:r>
              <w:rPr>
                <w:rFonts w:hint="eastAsia" w:ascii="宋体" w:hAnsi="宋体" w:cs="宋体"/>
                <w:sz w:val="21"/>
                <w:szCs w:val="21"/>
              </w:rPr>
              <w:t>2×USB3.2 Gen1</w:t>
            </w:r>
            <w:r>
              <w:rPr>
                <w:rFonts w:ascii="宋体" w:hAnsi="宋体" w:cs="宋体"/>
                <w:sz w:val="21"/>
                <w:szCs w:val="21"/>
              </w:rPr>
              <w:t xml:space="preserve">   4×USB2.0</w:t>
            </w:r>
          </w:p>
          <w:p w14:paraId="16FAF6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</w:t>
            </w:r>
            <w:r>
              <w:rPr>
                <w:rFonts w:ascii="宋体" w:hAnsi="宋体" w:cs="宋体"/>
                <w:sz w:val="21"/>
                <w:szCs w:val="21"/>
              </w:rPr>
              <w:sym w:font="Wingdings 2" w:char="F0EA"/>
            </w:r>
            <w:r>
              <w:rPr>
                <w:rFonts w:hint="eastAsia" w:ascii="宋体" w:hAnsi="宋体" w:cs="宋体"/>
                <w:sz w:val="21"/>
                <w:szCs w:val="21"/>
              </w:rPr>
              <w:t>主板要求为一线品牌（包括华硕、技嘉、微星）</w:t>
            </w:r>
          </w:p>
          <w:p w14:paraId="7D7B40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</w:t>
            </w:r>
            <w:r>
              <w:rPr>
                <w:rFonts w:ascii="宋体" w:hAnsi="宋体" w:cs="宋体"/>
                <w:sz w:val="21"/>
                <w:szCs w:val="21"/>
              </w:rPr>
              <w:sym w:font="Wingdings 2" w:char="F0EA"/>
            </w:r>
            <w:r>
              <w:rPr>
                <w:rFonts w:hint="eastAsia" w:ascii="宋体" w:hAnsi="宋体" w:cs="宋体"/>
                <w:sz w:val="21"/>
                <w:szCs w:val="21"/>
              </w:rPr>
              <w:t>如需要，提供与升级机箱相匹配的控制线、</w:t>
            </w:r>
            <w:r>
              <w:rPr>
                <w:rFonts w:ascii="宋体" w:hAnsi="宋体" w:cs="宋体"/>
                <w:sz w:val="21"/>
                <w:szCs w:val="21"/>
              </w:rPr>
              <w:t>USB</w:t>
            </w:r>
            <w:r>
              <w:rPr>
                <w:rFonts w:hint="eastAsia" w:ascii="宋体" w:hAnsi="宋体" w:cs="宋体"/>
                <w:sz w:val="21"/>
                <w:szCs w:val="21"/>
              </w:rPr>
              <w:t>、音频、数据线、电源接口线</w:t>
            </w:r>
          </w:p>
        </w:tc>
        <w:tc>
          <w:tcPr>
            <w:tcW w:w="772" w:type="dxa"/>
            <w:vAlign w:val="center"/>
          </w:tcPr>
          <w:p w14:paraId="797CDF4F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块</w:t>
            </w:r>
          </w:p>
        </w:tc>
        <w:tc>
          <w:tcPr>
            <w:tcW w:w="698" w:type="dxa"/>
            <w:vAlign w:val="center"/>
          </w:tcPr>
          <w:p w14:paraId="376CABB6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95</w:t>
            </w:r>
          </w:p>
        </w:tc>
      </w:tr>
    </w:tbl>
    <w:p w14:paraId="54FE19C6">
      <w:pPr>
        <w:spacing w:line="560" w:lineRule="exact"/>
        <w:ind w:firstLine="560" w:firstLineChars="200"/>
        <w:jc w:val="lef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二、</w:t>
      </w:r>
      <w:r>
        <w:rPr>
          <w:rFonts w:hint="eastAsia" w:ascii="黑体" w:hAnsi="黑体" w:eastAsia="黑体" w:cs="黑体"/>
          <w:sz w:val="28"/>
          <w:szCs w:val="28"/>
        </w:rPr>
        <w:t>商务要求</w:t>
      </w:r>
    </w:p>
    <w:p w14:paraId="62EB8BD2">
      <w:p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交货期：按合同约定时间完成交付工作；</w:t>
      </w:r>
    </w:p>
    <w:p w14:paraId="69907FB0">
      <w:p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交货地点：采购人指定地点；</w:t>
      </w:r>
    </w:p>
    <w:p w14:paraId="422F4E34">
      <w:p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付款条件：到货安装调试验收后100%全额支付。</w:t>
      </w:r>
    </w:p>
    <w:p w14:paraId="70A39B73">
      <w:p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本项目费用包括中标人完成该项目采购的所有费用，包括并不仅限于设备费、搬运费、安装调试费（拆旧装新，不包含安装操作系统及软件）、税费和后期技术支持费用以及在提供服务过程中产生的其他费用等。</w:t>
      </w:r>
    </w:p>
    <w:p w14:paraId="1A3B4F21">
      <w:p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28"/>
          <w:szCs w:val="28"/>
        </w:rPr>
        <w:t>供应商提供针对该批次货物采购的质保及售后服务承诺函，包含以下内容：</w:t>
      </w:r>
    </w:p>
    <w:bookmarkEnd w:id="0"/>
    <w:p w14:paraId="485ADFEC">
      <w:p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①要求供货方提供所有产品均为全新正品行货，性能参数如不符合要求，采购方有权要求供货方无条件更换合格产品，否则采购方有权解除合同并依法追究供货方的违约责任；</w:t>
      </w:r>
    </w:p>
    <w:p w14:paraId="078D0F5C">
      <w:p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②供货方保证提供CPU、主板、内存、固态硬盘的工作兼容性和稳定性，如果出现兼容性问题，供货方要无条件更改供货型号，以保证产品搭建的计算机平台能够正常运行，否则需承担违约责任；</w:t>
      </w:r>
    </w:p>
    <w:p w14:paraId="2C8862F5">
      <w:p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③供货方提供的商品按类别均要标明质保期限、质保方式（包修、包换）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；</w:t>
      </w:r>
    </w:p>
    <w:p w14:paraId="7BE5DDDB">
      <w:p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④售后服务条款，对质保单位、联系人、联系电话、技术服务支持响应时间、维修和更换配件时间、是否提供备用件做出明确承诺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DEA9B">
    <w:pPr>
      <w:pStyle w:val="9"/>
      <w:framePr w:wrap="around" w:vAnchor="text" w:hAnchor="margin" w:xAlign="outside" w:y="1"/>
      <w:rPr>
        <w:rStyle w:val="15"/>
        <w:rFonts w:ascii="宋体" w:hAnsi="宋体"/>
        <w:sz w:val="28"/>
        <w:szCs w:val="28"/>
      </w:rPr>
    </w:pPr>
    <w:r>
      <w:rPr>
        <w:rStyle w:val="15"/>
        <w:rFonts w:hint="eastAsia" w:ascii="宋体" w:hAnsi="宋体"/>
        <w:sz w:val="28"/>
        <w:szCs w:val="28"/>
      </w:rPr>
      <w:t xml:space="preserve">— </w:t>
    </w:r>
    <w:r>
      <w:rPr>
        <w:rFonts w:hint="eastAsia" w:ascii="宋体" w:hAnsi="宋体"/>
        <w:sz w:val="28"/>
        <w:szCs w:val="28"/>
      </w:rPr>
      <w:fldChar w:fldCharType="begin"/>
    </w:r>
    <w:r>
      <w:rPr>
        <w:rStyle w:val="15"/>
        <w:rFonts w:hint="eastAsia" w:ascii="宋体" w:hAnsi="宋体"/>
        <w:sz w:val="28"/>
        <w:szCs w:val="28"/>
      </w:rPr>
      <w:instrText xml:space="preserve">PAGE 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Style w:val="15"/>
        <w:rFonts w:ascii="宋体" w:hAnsi="宋体"/>
        <w:sz w:val="28"/>
        <w:szCs w:val="28"/>
      </w:rPr>
      <w:t>3</w:t>
    </w:r>
    <w:r>
      <w:rPr>
        <w:rFonts w:hint="eastAsia" w:ascii="宋体" w:hAnsi="宋体"/>
        <w:sz w:val="28"/>
        <w:szCs w:val="28"/>
      </w:rPr>
      <w:fldChar w:fldCharType="end"/>
    </w:r>
    <w:r>
      <w:rPr>
        <w:rStyle w:val="15"/>
        <w:rFonts w:hint="eastAsia" w:ascii="宋体" w:hAnsi="宋体"/>
        <w:sz w:val="28"/>
        <w:szCs w:val="28"/>
      </w:rPr>
      <w:t xml:space="preserve"> — </w:t>
    </w:r>
  </w:p>
  <w:p w14:paraId="17F5563E">
    <w:pPr>
      <w:pStyle w:val="9"/>
      <w:ind w:right="360" w:firstLine="360"/>
    </w:pP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E7D40B">
    <w:pPr>
      <w:pStyle w:val="9"/>
      <w:framePr w:wrap="around" w:vAnchor="text" w:hAnchor="margin" w:xAlign="outside" w:y="1"/>
      <w:rPr>
        <w:rStyle w:val="15"/>
      </w:rPr>
    </w:pPr>
    <w:r>
      <w:rPr>
        <w:rStyle w:val="15"/>
        <w:rFonts w:hint="eastAsia" w:ascii="宋体" w:hAnsi="宋体"/>
        <w:sz w:val="28"/>
        <w:szCs w:val="28"/>
      </w:rPr>
      <w:t xml:space="preserve">— </w:t>
    </w:r>
    <w:r>
      <w:rPr>
        <w:rFonts w:hint="eastAsia" w:ascii="宋体" w:hAnsi="宋体"/>
        <w:sz w:val="28"/>
        <w:szCs w:val="28"/>
      </w:rPr>
      <w:fldChar w:fldCharType="begin"/>
    </w:r>
    <w:r>
      <w:rPr>
        <w:rStyle w:val="15"/>
        <w:rFonts w:hint="eastAsia" w:ascii="宋体" w:hAnsi="宋体"/>
        <w:sz w:val="28"/>
        <w:szCs w:val="28"/>
      </w:rPr>
      <w:instrText xml:space="preserve">PAGE 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Style w:val="15"/>
        <w:rFonts w:ascii="宋体" w:hAnsi="宋体"/>
        <w:sz w:val="28"/>
        <w:szCs w:val="28"/>
      </w:rPr>
      <w:t>2</w:t>
    </w:r>
    <w:r>
      <w:rPr>
        <w:rFonts w:hint="eastAsia" w:ascii="宋体" w:hAnsi="宋体"/>
        <w:sz w:val="28"/>
        <w:szCs w:val="28"/>
      </w:rPr>
      <w:fldChar w:fldCharType="end"/>
    </w:r>
    <w:r>
      <w:rPr>
        <w:rStyle w:val="15"/>
        <w:rFonts w:hint="eastAsia" w:ascii="宋体" w:hAnsi="宋体"/>
        <w:sz w:val="28"/>
        <w:szCs w:val="28"/>
      </w:rPr>
      <w:t xml:space="preserve"> —</w:t>
    </w:r>
  </w:p>
  <w:p w14:paraId="42FA8666">
    <w:pPr>
      <w:pStyle w:val="9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dit="readOnly"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jODA2NDliOGRmMGE3MmM5OTM1MzQ0YjA3N2Y3MDUifQ=="/>
  </w:docVars>
  <w:rsids>
    <w:rsidRoot w:val="00546C1D"/>
    <w:rsid w:val="00000AFC"/>
    <w:rsid w:val="00011702"/>
    <w:rsid w:val="0004792D"/>
    <w:rsid w:val="00060AE0"/>
    <w:rsid w:val="00063E4C"/>
    <w:rsid w:val="00066144"/>
    <w:rsid w:val="000747B7"/>
    <w:rsid w:val="00075522"/>
    <w:rsid w:val="00083AAE"/>
    <w:rsid w:val="00087C4D"/>
    <w:rsid w:val="000927A2"/>
    <w:rsid w:val="0009328C"/>
    <w:rsid w:val="000A0782"/>
    <w:rsid w:val="000A4948"/>
    <w:rsid w:val="000A6260"/>
    <w:rsid w:val="000E5CFD"/>
    <w:rsid w:val="000E6F15"/>
    <w:rsid w:val="000F6E74"/>
    <w:rsid w:val="001000E6"/>
    <w:rsid w:val="0010147C"/>
    <w:rsid w:val="0011099E"/>
    <w:rsid w:val="001208FA"/>
    <w:rsid w:val="00121605"/>
    <w:rsid w:val="001332B4"/>
    <w:rsid w:val="00145427"/>
    <w:rsid w:val="0015174D"/>
    <w:rsid w:val="001550B5"/>
    <w:rsid w:val="00161D19"/>
    <w:rsid w:val="00172C86"/>
    <w:rsid w:val="00182AB1"/>
    <w:rsid w:val="0018791A"/>
    <w:rsid w:val="001A5108"/>
    <w:rsid w:val="001D10F1"/>
    <w:rsid w:val="001E3B12"/>
    <w:rsid w:val="00200571"/>
    <w:rsid w:val="00210304"/>
    <w:rsid w:val="0021336F"/>
    <w:rsid w:val="00217AF9"/>
    <w:rsid w:val="00232618"/>
    <w:rsid w:val="002358B0"/>
    <w:rsid w:val="00241831"/>
    <w:rsid w:val="00245B01"/>
    <w:rsid w:val="00267931"/>
    <w:rsid w:val="00273925"/>
    <w:rsid w:val="00283E0B"/>
    <w:rsid w:val="00286C3F"/>
    <w:rsid w:val="002B32CA"/>
    <w:rsid w:val="002B36D2"/>
    <w:rsid w:val="002B513E"/>
    <w:rsid w:val="002D52DA"/>
    <w:rsid w:val="002D58E7"/>
    <w:rsid w:val="002D6FCF"/>
    <w:rsid w:val="002E30F9"/>
    <w:rsid w:val="002F3260"/>
    <w:rsid w:val="00317CC3"/>
    <w:rsid w:val="003213F9"/>
    <w:rsid w:val="00321CE8"/>
    <w:rsid w:val="003225F7"/>
    <w:rsid w:val="003278AF"/>
    <w:rsid w:val="00330EB8"/>
    <w:rsid w:val="00355F06"/>
    <w:rsid w:val="0037515A"/>
    <w:rsid w:val="0037531A"/>
    <w:rsid w:val="003854EE"/>
    <w:rsid w:val="00392671"/>
    <w:rsid w:val="003A381D"/>
    <w:rsid w:val="003B3951"/>
    <w:rsid w:val="003C2960"/>
    <w:rsid w:val="003D15CC"/>
    <w:rsid w:val="003F6214"/>
    <w:rsid w:val="00405D6E"/>
    <w:rsid w:val="00413101"/>
    <w:rsid w:val="00444BA1"/>
    <w:rsid w:val="00445708"/>
    <w:rsid w:val="00453393"/>
    <w:rsid w:val="00454E92"/>
    <w:rsid w:val="004573EF"/>
    <w:rsid w:val="00457427"/>
    <w:rsid w:val="00465B89"/>
    <w:rsid w:val="00466CA1"/>
    <w:rsid w:val="004728A5"/>
    <w:rsid w:val="004820F4"/>
    <w:rsid w:val="00494A27"/>
    <w:rsid w:val="0049697B"/>
    <w:rsid w:val="004A7EB2"/>
    <w:rsid w:val="004B234C"/>
    <w:rsid w:val="004B27A6"/>
    <w:rsid w:val="004C755C"/>
    <w:rsid w:val="004D5D92"/>
    <w:rsid w:val="004E24FA"/>
    <w:rsid w:val="004F06C7"/>
    <w:rsid w:val="004F0CF7"/>
    <w:rsid w:val="004F5220"/>
    <w:rsid w:val="00502083"/>
    <w:rsid w:val="00525CB4"/>
    <w:rsid w:val="00546C1D"/>
    <w:rsid w:val="00555B75"/>
    <w:rsid w:val="005637F6"/>
    <w:rsid w:val="005725EA"/>
    <w:rsid w:val="00584034"/>
    <w:rsid w:val="005954BC"/>
    <w:rsid w:val="005A5C43"/>
    <w:rsid w:val="005B10DA"/>
    <w:rsid w:val="005B13C6"/>
    <w:rsid w:val="005C74FD"/>
    <w:rsid w:val="005D0A84"/>
    <w:rsid w:val="005D41F0"/>
    <w:rsid w:val="005E3585"/>
    <w:rsid w:val="005E4432"/>
    <w:rsid w:val="005E5D54"/>
    <w:rsid w:val="006033F8"/>
    <w:rsid w:val="00607497"/>
    <w:rsid w:val="006246E6"/>
    <w:rsid w:val="006262C0"/>
    <w:rsid w:val="00627EC6"/>
    <w:rsid w:val="00632087"/>
    <w:rsid w:val="00632B9C"/>
    <w:rsid w:val="006373F0"/>
    <w:rsid w:val="00643203"/>
    <w:rsid w:val="00647041"/>
    <w:rsid w:val="0065781F"/>
    <w:rsid w:val="00667007"/>
    <w:rsid w:val="00686432"/>
    <w:rsid w:val="00696BFF"/>
    <w:rsid w:val="006A033A"/>
    <w:rsid w:val="006B6562"/>
    <w:rsid w:val="006C090F"/>
    <w:rsid w:val="006C6027"/>
    <w:rsid w:val="006C6AEF"/>
    <w:rsid w:val="006D29EC"/>
    <w:rsid w:val="006D2BB0"/>
    <w:rsid w:val="006E1602"/>
    <w:rsid w:val="006E4A46"/>
    <w:rsid w:val="006E5C7A"/>
    <w:rsid w:val="006E5E04"/>
    <w:rsid w:val="006F0336"/>
    <w:rsid w:val="00700609"/>
    <w:rsid w:val="00701BF5"/>
    <w:rsid w:val="00705732"/>
    <w:rsid w:val="00721018"/>
    <w:rsid w:val="007336FF"/>
    <w:rsid w:val="00744DE0"/>
    <w:rsid w:val="00747091"/>
    <w:rsid w:val="00755C4A"/>
    <w:rsid w:val="00761BFF"/>
    <w:rsid w:val="00774989"/>
    <w:rsid w:val="007A5A67"/>
    <w:rsid w:val="007B4F48"/>
    <w:rsid w:val="007D1A09"/>
    <w:rsid w:val="007D2345"/>
    <w:rsid w:val="007D384D"/>
    <w:rsid w:val="007F3029"/>
    <w:rsid w:val="008105A4"/>
    <w:rsid w:val="00815878"/>
    <w:rsid w:val="00831001"/>
    <w:rsid w:val="00831339"/>
    <w:rsid w:val="00833DB9"/>
    <w:rsid w:val="00840391"/>
    <w:rsid w:val="00853550"/>
    <w:rsid w:val="008633CB"/>
    <w:rsid w:val="008729CD"/>
    <w:rsid w:val="00872B74"/>
    <w:rsid w:val="00874002"/>
    <w:rsid w:val="00883F3A"/>
    <w:rsid w:val="00886379"/>
    <w:rsid w:val="0088648F"/>
    <w:rsid w:val="008A49F2"/>
    <w:rsid w:val="008A567A"/>
    <w:rsid w:val="008B4790"/>
    <w:rsid w:val="008C06FA"/>
    <w:rsid w:val="008D2AC3"/>
    <w:rsid w:val="008D5C0B"/>
    <w:rsid w:val="008E489A"/>
    <w:rsid w:val="00907411"/>
    <w:rsid w:val="00925507"/>
    <w:rsid w:val="00925AEB"/>
    <w:rsid w:val="00936FBB"/>
    <w:rsid w:val="00952CF3"/>
    <w:rsid w:val="00953391"/>
    <w:rsid w:val="00953C30"/>
    <w:rsid w:val="00964DDF"/>
    <w:rsid w:val="0097109F"/>
    <w:rsid w:val="00975829"/>
    <w:rsid w:val="00977BAE"/>
    <w:rsid w:val="009823DF"/>
    <w:rsid w:val="00982FA6"/>
    <w:rsid w:val="009909CB"/>
    <w:rsid w:val="00996C80"/>
    <w:rsid w:val="009B3414"/>
    <w:rsid w:val="009C31A6"/>
    <w:rsid w:val="009C734E"/>
    <w:rsid w:val="009D559F"/>
    <w:rsid w:val="009E6C24"/>
    <w:rsid w:val="009F41A9"/>
    <w:rsid w:val="009F4A17"/>
    <w:rsid w:val="00A03940"/>
    <w:rsid w:val="00A14C10"/>
    <w:rsid w:val="00A2152E"/>
    <w:rsid w:val="00A24340"/>
    <w:rsid w:val="00A4109C"/>
    <w:rsid w:val="00A51C92"/>
    <w:rsid w:val="00A71AC6"/>
    <w:rsid w:val="00A80789"/>
    <w:rsid w:val="00A81F43"/>
    <w:rsid w:val="00A8231E"/>
    <w:rsid w:val="00A85AC1"/>
    <w:rsid w:val="00A865CE"/>
    <w:rsid w:val="00A93CF6"/>
    <w:rsid w:val="00A972F0"/>
    <w:rsid w:val="00AA5A5B"/>
    <w:rsid w:val="00AB4930"/>
    <w:rsid w:val="00AC2676"/>
    <w:rsid w:val="00AC7426"/>
    <w:rsid w:val="00AD4D4E"/>
    <w:rsid w:val="00AE23E3"/>
    <w:rsid w:val="00AE4508"/>
    <w:rsid w:val="00AE5B62"/>
    <w:rsid w:val="00AE631B"/>
    <w:rsid w:val="00AF15E1"/>
    <w:rsid w:val="00AF75FC"/>
    <w:rsid w:val="00B01E58"/>
    <w:rsid w:val="00B06C43"/>
    <w:rsid w:val="00B13D69"/>
    <w:rsid w:val="00B23494"/>
    <w:rsid w:val="00B26C1B"/>
    <w:rsid w:val="00B31FF9"/>
    <w:rsid w:val="00B3392C"/>
    <w:rsid w:val="00B37360"/>
    <w:rsid w:val="00B4609D"/>
    <w:rsid w:val="00B5326B"/>
    <w:rsid w:val="00B554DA"/>
    <w:rsid w:val="00B61071"/>
    <w:rsid w:val="00B66AB8"/>
    <w:rsid w:val="00B66E43"/>
    <w:rsid w:val="00B66EBE"/>
    <w:rsid w:val="00B67E15"/>
    <w:rsid w:val="00B71521"/>
    <w:rsid w:val="00B75A39"/>
    <w:rsid w:val="00B8001D"/>
    <w:rsid w:val="00B80253"/>
    <w:rsid w:val="00B90658"/>
    <w:rsid w:val="00B94AA8"/>
    <w:rsid w:val="00BB3638"/>
    <w:rsid w:val="00BC35A4"/>
    <w:rsid w:val="00BD0B2D"/>
    <w:rsid w:val="00BD6D3E"/>
    <w:rsid w:val="00BF0E68"/>
    <w:rsid w:val="00BF10EF"/>
    <w:rsid w:val="00BF3CD8"/>
    <w:rsid w:val="00C07D5B"/>
    <w:rsid w:val="00C13233"/>
    <w:rsid w:val="00C13A03"/>
    <w:rsid w:val="00C2366E"/>
    <w:rsid w:val="00C30653"/>
    <w:rsid w:val="00C5659C"/>
    <w:rsid w:val="00C667B7"/>
    <w:rsid w:val="00C7526B"/>
    <w:rsid w:val="00C754B2"/>
    <w:rsid w:val="00C80E4A"/>
    <w:rsid w:val="00C86C07"/>
    <w:rsid w:val="00C95079"/>
    <w:rsid w:val="00C97678"/>
    <w:rsid w:val="00CA35A2"/>
    <w:rsid w:val="00CB643D"/>
    <w:rsid w:val="00CD0D52"/>
    <w:rsid w:val="00CD6A9F"/>
    <w:rsid w:val="00CF138D"/>
    <w:rsid w:val="00D075D1"/>
    <w:rsid w:val="00D3639A"/>
    <w:rsid w:val="00D442B7"/>
    <w:rsid w:val="00D45E66"/>
    <w:rsid w:val="00D5399B"/>
    <w:rsid w:val="00D648BA"/>
    <w:rsid w:val="00D762EB"/>
    <w:rsid w:val="00D7779C"/>
    <w:rsid w:val="00D81DB8"/>
    <w:rsid w:val="00D871BF"/>
    <w:rsid w:val="00D901C9"/>
    <w:rsid w:val="00D94EA3"/>
    <w:rsid w:val="00D9604C"/>
    <w:rsid w:val="00DA1FD1"/>
    <w:rsid w:val="00DB15B9"/>
    <w:rsid w:val="00DD4370"/>
    <w:rsid w:val="00DD4B19"/>
    <w:rsid w:val="00DE3F6B"/>
    <w:rsid w:val="00DE432C"/>
    <w:rsid w:val="00E010BB"/>
    <w:rsid w:val="00E10B6C"/>
    <w:rsid w:val="00E13CB5"/>
    <w:rsid w:val="00E16A7F"/>
    <w:rsid w:val="00E241DD"/>
    <w:rsid w:val="00E30D95"/>
    <w:rsid w:val="00E30E67"/>
    <w:rsid w:val="00E30FBB"/>
    <w:rsid w:val="00E41DDB"/>
    <w:rsid w:val="00E51408"/>
    <w:rsid w:val="00E5242F"/>
    <w:rsid w:val="00E52CF2"/>
    <w:rsid w:val="00E56D36"/>
    <w:rsid w:val="00E60380"/>
    <w:rsid w:val="00E60EB5"/>
    <w:rsid w:val="00E6421D"/>
    <w:rsid w:val="00E66FAF"/>
    <w:rsid w:val="00E81E93"/>
    <w:rsid w:val="00E82F46"/>
    <w:rsid w:val="00E87A7A"/>
    <w:rsid w:val="00E9050D"/>
    <w:rsid w:val="00E94928"/>
    <w:rsid w:val="00EB7446"/>
    <w:rsid w:val="00EC39FF"/>
    <w:rsid w:val="00F0313F"/>
    <w:rsid w:val="00F122FF"/>
    <w:rsid w:val="00F20DAE"/>
    <w:rsid w:val="00F32B22"/>
    <w:rsid w:val="00F42508"/>
    <w:rsid w:val="00F4664F"/>
    <w:rsid w:val="00F46B5E"/>
    <w:rsid w:val="00F46BD2"/>
    <w:rsid w:val="00F605F1"/>
    <w:rsid w:val="00F62990"/>
    <w:rsid w:val="00F655E5"/>
    <w:rsid w:val="00F7193D"/>
    <w:rsid w:val="00F7530A"/>
    <w:rsid w:val="00F80084"/>
    <w:rsid w:val="00F92250"/>
    <w:rsid w:val="00F93F2E"/>
    <w:rsid w:val="00F946B9"/>
    <w:rsid w:val="00FB468B"/>
    <w:rsid w:val="00FC050B"/>
    <w:rsid w:val="00FC2A08"/>
    <w:rsid w:val="00FC40B9"/>
    <w:rsid w:val="00FD45F0"/>
    <w:rsid w:val="00FF036A"/>
    <w:rsid w:val="00FF78C8"/>
    <w:rsid w:val="0A36214C"/>
    <w:rsid w:val="1F7C4895"/>
    <w:rsid w:val="3E8D2FFB"/>
    <w:rsid w:val="4ACB54B8"/>
    <w:rsid w:val="4B506673"/>
    <w:rsid w:val="4E991B29"/>
    <w:rsid w:val="543B0725"/>
    <w:rsid w:val="5AC03DB6"/>
    <w:rsid w:val="63266C59"/>
    <w:rsid w:val="63767DF7"/>
    <w:rsid w:val="78FE0024"/>
    <w:rsid w:val="7F7D2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25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exact"/>
      <w:ind w:firstLine="200" w:firstLineChars="200"/>
    </w:pPr>
    <w:rPr>
      <w:rFonts w:eastAsia="仿宋_GB2312"/>
      <w:sz w:val="30"/>
    </w:rPr>
  </w:style>
  <w:style w:type="paragraph" w:styleId="6">
    <w:name w:val="annotation text"/>
    <w:basedOn w:val="1"/>
    <w:link w:val="28"/>
    <w:qFormat/>
    <w:uiPriority w:val="0"/>
    <w:pPr>
      <w:jc w:val="left"/>
    </w:pPr>
  </w:style>
  <w:style w:type="paragraph" w:styleId="7">
    <w:name w:val="Date"/>
    <w:basedOn w:val="1"/>
    <w:next w:val="1"/>
    <w:link w:val="20"/>
    <w:qFormat/>
    <w:uiPriority w:val="0"/>
    <w:pPr>
      <w:ind w:left="100" w:leftChars="2500"/>
    </w:pPr>
  </w:style>
  <w:style w:type="paragraph" w:styleId="8">
    <w:name w:val="Balloon Text"/>
    <w:basedOn w:val="1"/>
    <w:link w:val="21"/>
    <w:semiHidden/>
    <w:qFormat/>
    <w:uiPriority w:val="0"/>
    <w:rPr>
      <w:sz w:val="18"/>
      <w:szCs w:val="18"/>
    </w:rPr>
  </w:style>
  <w:style w:type="paragraph" w:styleId="9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annotation subject"/>
    <w:basedOn w:val="6"/>
    <w:next w:val="6"/>
    <w:link w:val="29"/>
    <w:qFormat/>
    <w:uiPriority w:val="0"/>
    <w:rPr>
      <w:b/>
      <w:bCs/>
    </w:rPr>
  </w:style>
  <w:style w:type="table" w:styleId="13">
    <w:name w:val="Table Grid"/>
    <w:basedOn w:val="12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5">
    <w:name w:val="page number"/>
    <w:basedOn w:val="14"/>
    <w:unhideWhenUsed/>
    <w:qFormat/>
    <w:uiPriority w:val="99"/>
  </w:style>
  <w:style w:type="character" w:styleId="16">
    <w:name w:val="annotation reference"/>
    <w:basedOn w:val="14"/>
    <w:qFormat/>
    <w:uiPriority w:val="0"/>
    <w:rPr>
      <w:sz w:val="21"/>
      <w:szCs w:val="21"/>
    </w:rPr>
  </w:style>
  <w:style w:type="paragraph" w:customStyle="1" w:styleId="17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8">
    <w:name w:val="页眉 字符"/>
    <w:basedOn w:val="14"/>
    <w:link w:val="10"/>
    <w:qFormat/>
    <w:uiPriority w:val="0"/>
    <w:rPr>
      <w:kern w:val="2"/>
      <w:sz w:val="18"/>
      <w:szCs w:val="18"/>
    </w:rPr>
  </w:style>
  <w:style w:type="character" w:customStyle="1" w:styleId="19">
    <w:name w:val="页脚 字符"/>
    <w:link w:val="9"/>
    <w:qFormat/>
    <w:locked/>
    <w:uiPriority w:val="99"/>
    <w:rPr>
      <w:kern w:val="2"/>
      <w:sz w:val="18"/>
      <w:szCs w:val="18"/>
    </w:rPr>
  </w:style>
  <w:style w:type="character" w:customStyle="1" w:styleId="20">
    <w:name w:val="日期 字符"/>
    <w:basedOn w:val="14"/>
    <w:link w:val="7"/>
    <w:qFormat/>
    <w:uiPriority w:val="0"/>
    <w:rPr>
      <w:kern w:val="2"/>
      <w:sz w:val="21"/>
      <w:szCs w:val="24"/>
    </w:rPr>
  </w:style>
  <w:style w:type="character" w:customStyle="1" w:styleId="21">
    <w:name w:val="批注框文本 字符"/>
    <w:basedOn w:val="14"/>
    <w:link w:val="8"/>
    <w:semiHidden/>
    <w:qFormat/>
    <w:uiPriority w:val="0"/>
    <w:rPr>
      <w:kern w:val="2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标题 1 字符"/>
    <w:basedOn w:val="14"/>
    <w:link w:val="3"/>
    <w:qFormat/>
    <w:uiPriority w:val="0"/>
    <w:rPr>
      <w:b/>
      <w:bCs/>
      <w:kern w:val="44"/>
      <w:sz w:val="44"/>
      <w:szCs w:val="44"/>
    </w:rPr>
  </w:style>
  <w:style w:type="character" w:customStyle="1" w:styleId="24">
    <w:name w:val="标题 2 字符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5">
    <w:name w:val="标题 3 字符"/>
    <w:basedOn w:val="14"/>
    <w:link w:val="5"/>
    <w:qFormat/>
    <w:uiPriority w:val="0"/>
    <w:rPr>
      <w:b/>
      <w:bCs/>
      <w:kern w:val="2"/>
      <w:sz w:val="32"/>
      <w:szCs w:val="32"/>
    </w:rPr>
  </w:style>
  <w:style w:type="paragraph" w:customStyle="1" w:styleId="26">
    <w:name w:val="*正文"/>
    <w:basedOn w:val="1"/>
    <w:next w:val="1"/>
    <w:qFormat/>
    <w:uiPriority w:val="0"/>
    <w:pPr>
      <w:widowControl/>
      <w:ind w:firstLine="482"/>
    </w:pPr>
    <w:rPr>
      <w:rFonts w:ascii="微软雅黑" w:hAnsi="微软雅黑" w:eastAsia="微软雅黑"/>
      <w:szCs w:val="32"/>
    </w:rPr>
  </w:style>
  <w:style w:type="paragraph" w:customStyle="1" w:styleId="27">
    <w:name w:val="_Style 35"/>
    <w:basedOn w:val="1"/>
    <w:next w:val="22"/>
    <w:qFormat/>
    <w:uiPriority w:val="34"/>
    <w:pPr>
      <w:widowControl/>
      <w:ind w:firstLine="420" w:firstLineChars="200"/>
      <w:jc w:val="left"/>
    </w:pPr>
    <w:rPr>
      <w:kern w:val="0"/>
      <w:sz w:val="24"/>
    </w:rPr>
  </w:style>
  <w:style w:type="character" w:customStyle="1" w:styleId="28">
    <w:name w:val="批注文字 字符"/>
    <w:basedOn w:val="14"/>
    <w:link w:val="6"/>
    <w:qFormat/>
    <w:uiPriority w:val="0"/>
    <w:rPr>
      <w:kern w:val="2"/>
      <w:sz w:val="21"/>
      <w:szCs w:val="24"/>
    </w:rPr>
  </w:style>
  <w:style w:type="character" w:customStyle="1" w:styleId="29">
    <w:name w:val="批注主题 字符"/>
    <w:basedOn w:val="28"/>
    <w:link w:val="11"/>
    <w:qFormat/>
    <w:uiPriority w:val="0"/>
    <w:rPr>
      <w:b/>
      <w:bCs/>
      <w:kern w:val="2"/>
      <w:sz w:val="21"/>
      <w:szCs w:val="24"/>
    </w:rPr>
  </w:style>
  <w:style w:type="character" w:customStyle="1" w:styleId="30">
    <w:name w:val="font31"/>
    <w:basedOn w:val="1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1">
    <w:name w:val="正文1"/>
    <w:qFormat/>
    <w:uiPriority w:val="0"/>
    <w:pPr>
      <w:jc w:val="both"/>
    </w:pPr>
    <w:rPr>
      <w:rFonts w:ascii="仿宋" w:hAnsi="仿宋" w:eastAsia="宋体" w:cs="宋体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A70B03-00D0-4A9C-9653-32FD56445D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2</Pages>
  <Words>1064</Words>
  <Characters>1298</Characters>
  <Lines>10</Lines>
  <Paragraphs>3</Paragraphs>
  <TotalTime>61</TotalTime>
  <ScaleCrop>false</ScaleCrop>
  <LinksUpToDate>false</LinksUpToDate>
  <CharactersWithSpaces>1435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2022-04-14T10:49:00Z</dcterms:created>
  <dc:creator>MC SYSTEM</dc:creator>
  <cp:lastModifiedBy>姜警卫</cp:lastModifiedBy>
  <cp:lastPrinted>2022-05-24T03:27:00Z</cp:lastPrinted>
  <dcterms:modified xsi:type="dcterms:W3CDTF">2024-11-11T09:14:12Z</dcterms:modified>
  <dc:title>厦财采〔2021〕9号</dc:title>
  <cp:revision>316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D8734ED107CB4DBCA5C0EC779FAB5310</vt:lpwstr>
  </property>
</Properties>
</file>